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6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685"/>
      </w:tblGrid>
      <w:tr w:rsidR="00285F05" w14:paraId="14E1B75D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176B928C" w14:textId="77777777" w:rsidR="00285F05" w:rsidRDefault="00285F05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285F05" w14:paraId="7CBC65D1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2442E99" w14:textId="77777777" w:rsidR="00285F05" w:rsidRDefault="00285F05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285F05" w14:paraId="6D5B772F" w14:textId="77777777" w:rsidTr="00B11F64">
        <w:trPr>
          <w:trHeight w:val="284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629AF2A4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  <w:tr w:rsidR="00285F05" w14:paraId="168A90AE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8F83EB5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285F05" w14:paraId="34CFE7CD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CDD1E67" w14:textId="77777777" w:rsidR="00285F05" w:rsidRDefault="00285F05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Fonética e Fonologia da Língua Estrangeira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9E4424A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006 </w:t>
            </w:r>
          </w:p>
        </w:tc>
      </w:tr>
      <w:tr w:rsidR="00285F05" w14:paraId="3DAB4B64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6FC71ED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285F05" w14:paraId="6EA28F57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F78214E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285F05" w14:paraId="60CAFE5D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D61ECEC" w14:textId="77777777" w:rsidR="00285F05" w:rsidRDefault="00285F05" w:rsidP="00B11F64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285F05" w14:paraId="4C4CC26B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68D0D86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285F05" w14:paraId="0FAAC40D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7CB5C90" w14:textId="77777777" w:rsidR="00285F05" w:rsidRDefault="00285F05" w:rsidP="00B11F6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285F05" w14:paraId="38FD9AC0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13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52FE1FE" w14:textId="77777777" w:rsidR="00285F05" w:rsidRDefault="00285F05" w:rsidP="00B11F64">
            <w:pPr>
              <w:spacing w:after="0" w:line="259" w:lineRule="auto"/>
              <w:ind w:left="3" w:right="241" w:firstLine="0"/>
            </w:pPr>
            <w:r>
              <w:t xml:space="preserve">Produção e percepção dos fonemas da língua inglesa e da língua espanhola. Estudo de fundamentos teóricos e práticos da fonética e da fonologia da língua inglesa e da língua espanhola, com ênfase para os aspectos considerados problemáticos para falantes brasileiros e suas implicações para aprendizagem e ensino das respectivas línguas como línguas estrangeiras.  Estudo dos fenômenos prosódicos, com ênfase na entoação.   </w:t>
            </w:r>
          </w:p>
        </w:tc>
      </w:tr>
      <w:tr w:rsidR="00285F05" w14:paraId="059DEBB0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4268A8B" w14:textId="77777777" w:rsidR="00285F05" w:rsidRDefault="00285F05" w:rsidP="00B11F6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285F05" w14:paraId="30EFA4FD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50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66775B7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1A1B987E" w14:textId="77777777" w:rsidR="00285F05" w:rsidRDefault="00285F05" w:rsidP="00B11F64">
            <w:pPr>
              <w:spacing w:after="0" w:line="238" w:lineRule="auto"/>
              <w:ind w:left="3" w:firstLine="0"/>
              <w:jc w:val="left"/>
            </w:pPr>
            <w:r>
              <w:t xml:space="preserve">Apresentar maior competência na produção e percepção dos fonemas das línguas inglesa e espanhola, sobretudo nas variedades padrão britânica e norte americana, no caso do inglês e das variedades espanhola e hispano-americana, na língua espanhola.   </w:t>
            </w:r>
          </w:p>
          <w:p w14:paraId="2FB5D74A" w14:textId="77777777" w:rsidR="00285F05" w:rsidRDefault="00285F05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E111097" w14:textId="77777777" w:rsidR="00285F05" w:rsidRDefault="00285F05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1FB6617A" w14:textId="77777777" w:rsidR="00285F05" w:rsidRDefault="00285F05" w:rsidP="00285F05">
            <w:pPr>
              <w:numPr>
                <w:ilvl w:val="0"/>
                <w:numId w:val="1"/>
              </w:numPr>
              <w:spacing w:after="30" w:line="252" w:lineRule="auto"/>
              <w:ind w:hanging="280"/>
            </w:pPr>
            <w:r>
              <w:t xml:space="preserve">Conhecer os elementos teóricos e os critérios de análise que permitam desenvolver a captação e realização dos elementos segmentais e prosódicos da língua espanhola.    </w:t>
            </w:r>
          </w:p>
          <w:p w14:paraId="32C63919" w14:textId="77777777" w:rsidR="00285F05" w:rsidRDefault="00285F05" w:rsidP="00285F05">
            <w:pPr>
              <w:numPr>
                <w:ilvl w:val="0"/>
                <w:numId w:val="1"/>
              </w:numPr>
              <w:spacing w:after="30" w:line="252" w:lineRule="auto"/>
              <w:ind w:hanging="280"/>
            </w:pPr>
            <w:r>
              <w:t xml:space="preserve">Desenvolver a consciência fonológica através de processos de autopercepção da própria produção fônica.     </w:t>
            </w:r>
          </w:p>
          <w:p w14:paraId="79893B43" w14:textId="77777777" w:rsidR="00285F05" w:rsidRDefault="00285F05" w:rsidP="00285F05">
            <w:pPr>
              <w:numPr>
                <w:ilvl w:val="0"/>
                <w:numId w:val="1"/>
              </w:numPr>
              <w:spacing w:after="22" w:line="259" w:lineRule="auto"/>
              <w:ind w:hanging="280"/>
            </w:pPr>
            <w:r>
              <w:t xml:space="preserve">Sensibilizar para a variação fonética na língua materna e na língua estrangeira.   </w:t>
            </w:r>
          </w:p>
          <w:p w14:paraId="20B3689C" w14:textId="77777777" w:rsidR="00285F05" w:rsidRDefault="00285F05" w:rsidP="00285F05">
            <w:pPr>
              <w:numPr>
                <w:ilvl w:val="0"/>
                <w:numId w:val="1"/>
              </w:numPr>
              <w:spacing w:after="22" w:line="259" w:lineRule="auto"/>
              <w:ind w:hanging="280"/>
            </w:pPr>
            <w:r>
              <w:t xml:space="preserve">Proporcionar recursos necessários para melhorar a própria pronunciação.   </w:t>
            </w:r>
          </w:p>
          <w:p w14:paraId="1DC0F879" w14:textId="77777777" w:rsidR="00285F05" w:rsidRDefault="00285F05" w:rsidP="00285F05">
            <w:pPr>
              <w:numPr>
                <w:ilvl w:val="0"/>
                <w:numId w:val="1"/>
              </w:numPr>
              <w:spacing w:after="30" w:line="252" w:lineRule="auto"/>
              <w:ind w:hanging="280"/>
            </w:pPr>
            <w:r>
              <w:t xml:space="preserve">Reconhecer e analisar diferentes variedades fonéticas, fonológicas e prosódicas da língua espanhola e também entre o português e o espanhol.     </w:t>
            </w:r>
          </w:p>
          <w:p w14:paraId="0F08FE98" w14:textId="77777777" w:rsidR="00285F05" w:rsidRDefault="00285F05" w:rsidP="00285F05">
            <w:pPr>
              <w:numPr>
                <w:ilvl w:val="0"/>
                <w:numId w:val="1"/>
              </w:numPr>
              <w:spacing w:after="4" w:line="252" w:lineRule="auto"/>
              <w:ind w:hanging="280"/>
            </w:pPr>
            <w:r>
              <w:t xml:space="preserve">Elaborar uma metodologia de análise de materiais didáticos nos aspectos fonéticos, fonológicos e prosódicos.   </w:t>
            </w:r>
          </w:p>
          <w:p w14:paraId="671BCF61" w14:textId="77777777" w:rsidR="00285F05" w:rsidRDefault="00285F05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285F05" w14:paraId="396676D2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4995533" w14:textId="77777777" w:rsidR="00285F05" w:rsidRDefault="00285F05" w:rsidP="00B11F64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285F05" w14:paraId="198C986F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580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AE92258" w14:textId="77777777" w:rsidR="00285F05" w:rsidRDefault="00285F05" w:rsidP="00285F05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>
              <w:lastRenderedPageBreak/>
              <w:t xml:space="preserve">UNIDADE – Fonética e Fonologia   </w:t>
            </w:r>
          </w:p>
          <w:p w14:paraId="4CD74B75" w14:textId="77777777" w:rsidR="00285F05" w:rsidRDefault="00285F05" w:rsidP="00B11F64">
            <w:pPr>
              <w:spacing w:after="2" w:line="259" w:lineRule="auto"/>
              <w:ind w:left="855" w:firstLine="0"/>
              <w:jc w:val="left"/>
            </w:pPr>
            <w:r>
              <w:t xml:space="preserve">   </w:t>
            </w:r>
          </w:p>
          <w:p w14:paraId="7A7697E6" w14:textId="77777777" w:rsidR="00285F05" w:rsidRDefault="00285F05" w:rsidP="00285F05">
            <w:pPr>
              <w:numPr>
                <w:ilvl w:val="1"/>
                <w:numId w:val="2"/>
              </w:numPr>
              <w:spacing w:after="26" w:line="239" w:lineRule="auto"/>
              <w:ind w:hanging="312"/>
              <w:jc w:val="left"/>
            </w:pPr>
            <w:r>
              <w:t xml:space="preserve">Conceitos básicos: fonemas, sons (fones), traços distintivos; comutação e substituição; oposições fonológicas; neutralização e </w:t>
            </w:r>
            <w:proofErr w:type="spellStart"/>
            <w:r>
              <w:t>arquifonema</w:t>
            </w:r>
            <w:proofErr w:type="spellEnd"/>
            <w:r>
              <w:t xml:space="preserve">;  </w:t>
            </w:r>
          </w:p>
          <w:p w14:paraId="32AE4EF0" w14:textId="77777777" w:rsidR="00285F05" w:rsidRDefault="00285F05" w:rsidP="00285F05">
            <w:pPr>
              <w:numPr>
                <w:ilvl w:val="1"/>
                <w:numId w:val="2"/>
              </w:numPr>
              <w:spacing w:after="3" w:line="259" w:lineRule="auto"/>
              <w:ind w:hanging="312"/>
              <w:jc w:val="left"/>
            </w:pPr>
            <w:r>
              <w:t xml:space="preserve">Fonética Articulatória: Aparelho fonador;  </w:t>
            </w:r>
          </w:p>
          <w:p w14:paraId="641714BE" w14:textId="77777777" w:rsidR="00285F05" w:rsidRDefault="00285F05" w:rsidP="00285F05">
            <w:pPr>
              <w:numPr>
                <w:ilvl w:val="1"/>
                <w:numId w:val="2"/>
              </w:numPr>
              <w:spacing w:after="3" w:line="259" w:lineRule="auto"/>
              <w:ind w:hanging="312"/>
              <w:jc w:val="left"/>
            </w:pPr>
            <w:r>
              <w:t xml:space="preserve">Fonética Acústica: Produção dos sons;  </w:t>
            </w:r>
          </w:p>
          <w:p w14:paraId="6483A8C5" w14:textId="77777777" w:rsidR="00285F05" w:rsidRDefault="00285F05" w:rsidP="00285F05">
            <w:pPr>
              <w:numPr>
                <w:ilvl w:val="1"/>
                <w:numId w:val="2"/>
              </w:numPr>
              <w:spacing w:after="0" w:line="259" w:lineRule="auto"/>
              <w:ind w:hanging="312"/>
              <w:jc w:val="left"/>
            </w:pPr>
            <w:r>
              <w:t xml:space="preserve">Fonemas problemáticos: dificuldades de produção e formas de correção.   </w:t>
            </w:r>
          </w:p>
          <w:p w14:paraId="29EE6F0D" w14:textId="77777777" w:rsidR="00285F05" w:rsidRDefault="00285F05" w:rsidP="00B11F64">
            <w:pPr>
              <w:spacing w:after="0" w:line="259" w:lineRule="auto"/>
              <w:ind w:left="571" w:firstLine="0"/>
              <w:jc w:val="left"/>
            </w:pPr>
            <w:r>
              <w:t xml:space="preserve">   </w:t>
            </w:r>
          </w:p>
          <w:p w14:paraId="3B270543" w14:textId="77777777" w:rsidR="00285F05" w:rsidRDefault="00285F05" w:rsidP="00285F05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>
              <w:t xml:space="preserve">UNIDADE – Prática fonética   </w:t>
            </w:r>
          </w:p>
          <w:p w14:paraId="6301B660" w14:textId="77777777" w:rsidR="00285F05" w:rsidRDefault="00285F05" w:rsidP="00B11F64">
            <w:pPr>
              <w:spacing w:after="2" w:line="259" w:lineRule="auto"/>
              <w:ind w:left="1292" w:firstLine="0"/>
              <w:jc w:val="left"/>
            </w:pPr>
            <w:r>
              <w:t xml:space="preserve">   </w:t>
            </w:r>
          </w:p>
          <w:p w14:paraId="53BE7550" w14:textId="77777777" w:rsidR="00285F05" w:rsidRDefault="00285F05" w:rsidP="00285F05">
            <w:pPr>
              <w:numPr>
                <w:ilvl w:val="1"/>
                <w:numId w:val="2"/>
              </w:numPr>
              <w:spacing w:after="2" w:line="259" w:lineRule="auto"/>
              <w:ind w:hanging="312"/>
              <w:jc w:val="left"/>
            </w:pPr>
            <w:r>
              <w:t xml:space="preserve">Alfabetos Fonéticos e prática de transcrição fonética;   </w:t>
            </w:r>
          </w:p>
          <w:p w14:paraId="4CA7623E" w14:textId="77777777" w:rsidR="00285F05" w:rsidRDefault="00285F05" w:rsidP="00285F05">
            <w:pPr>
              <w:numPr>
                <w:ilvl w:val="1"/>
                <w:numId w:val="2"/>
              </w:numPr>
              <w:spacing w:after="2" w:line="259" w:lineRule="auto"/>
              <w:ind w:hanging="312"/>
              <w:jc w:val="left"/>
            </w:pPr>
            <w:r>
              <w:t xml:space="preserve">Articulação e produção dos sons da língua estrangeira;   </w:t>
            </w:r>
          </w:p>
          <w:p w14:paraId="4C70B8BE" w14:textId="77777777" w:rsidR="00285F05" w:rsidRDefault="00285F05" w:rsidP="00285F05">
            <w:pPr>
              <w:numPr>
                <w:ilvl w:val="1"/>
                <w:numId w:val="2"/>
              </w:numPr>
              <w:spacing w:after="3" w:line="259" w:lineRule="auto"/>
              <w:ind w:hanging="312"/>
              <w:jc w:val="left"/>
            </w:pPr>
            <w:r>
              <w:t xml:space="preserve">Fenômenos de variação linguística (fonética-fonológica) da língua estrangeira;    </w:t>
            </w:r>
          </w:p>
          <w:p w14:paraId="1B6C3129" w14:textId="77777777" w:rsidR="00285F05" w:rsidRDefault="00285F05" w:rsidP="00285F05">
            <w:pPr>
              <w:numPr>
                <w:ilvl w:val="1"/>
                <w:numId w:val="2"/>
              </w:numPr>
              <w:spacing w:after="0" w:line="259" w:lineRule="auto"/>
              <w:ind w:hanging="312"/>
              <w:jc w:val="left"/>
            </w:pPr>
            <w:r>
              <w:t xml:space="preserve">Fonética e ensino de língua estrangeira.   </w:t>
            </w:r>
          </w:p>
          <w:p w14:paraId="20A6A719" w14:textId="77777777" w:rsidR="00285F05" w:rsidRDefault="00285F05" w:rsidP="00B11F64">
            <w:pPr>
              <w:spacing w:after="0" w:line="259" w:lineRule="auto"/>
              <w:ind w:left="571" w:firstLine="0"/>
              <w:jc w:val="left"/>
            </w:pPr>
            <w:r>
              <w:t xml:space="preserve">   </w:t>
            </w:r>
          </w:p>
          <w:p w14:paraId="34651C36" w14:textId="77777777" w:rsidR="00285F05" w:rsidRDefault="00285F05" w:rsidP="00285F05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>
              <w:t xml:space="preserve">UNIDADE – Prosódia   </w:t>
            </w:r>
          </w:p>
          <w:p w14:paraId="25F80AF3" w14:textId="77777777" w:rsidR="00285F05" w:rsidRDefault="00285F05" w:rsidP="00B11F64">
            <w:pPr>
              <w:spacing w:after="1" w:line="259" w:lineRule="auto"/>
              <w:ind w:left="1292" w:firstLine="0"/>
              <w:jc w:val="left"/>
            </w:pPr>
            <w:r>
              <w:t xml:space="preserve">   </w:t>
            </w:r>
          </w:p>
          <w:p w14:paraId="37C8E31F" w14:textId="77777777" w:rsidR="00285F05" w:rsidRDefault="00285F05" w:rsidP="00285F05">
            <w:pPr>
              <w:numPr>
                <w:ilvl w:val="1"/>
                <w:numId w:val="2"/>
              </w:numPr>
              <w:spacing w:after="3" w:line="259" w:lineRule="auto"/>
              <w:ind w:hanging="312"/>
              <w:jc w:val="left"/>
            </w:pPr>
            <w:r>
              <w:t xml:space="preserve">Definição de prosódia;   </w:t>
            </w:r>
          </w:p>
          <w:p w14:paraId="30BDE3BF" w14:textId="77777777" w:rsidR="00285F05" w:rsidRDefault="00285F05" w:rsidP="00285F05">
            <w:pPr>
              <w:numPr>
                <w:ilvl w:val="1"/>
                <w:numId w:val="2"/>
              </w:numPr>
              <w:spacing w:after="2" w:line="259" w:lineRule="auto"/>
              <w:ind w:hanging="312"/>
              <w:jc w:val="left"/>
            </w:pPr>
            <w:r>
              <w:t xml:space="preserve">Fenômenos prosódicos: Pausas, ritmo, acentuação e entoação;   </w:t>
            </w:r>
          </w:p>
          <w:p w14:paraId="7FD6D4CC" w14:textId="77777777" w:rsidR="00285F05" w:rsidRDefault="00285F05" w:rsidP="00285F05">
            <w:pPr>
              <w:numPr>
                <w:ilvl w:val="1"/>
                <w:numId w:val="2"/>
              </w:numPr>
              <w:spacing w:after="2" w:line="259" w:lineRule="auto"/>
              <w:ind w:hanging="312"/>
              <w:jc w:val="left"/>
            </w:pPr>
            <w:r>
              <w:t xml:space="preserve">Padrões de entoação em língua estrangeira: variação e aplicações práticas;   </w:t>
            </w:r>
          </w:p>
          <w:p w14:paraId="6FAEA213" w14:textId="77777777" w:rsidR="00285F05" w:rsidRDefault="00285F05" w:rsidP="00285F05">
            <w:pPr>
              <w:numPr>
                <w:ilvl w:val="1"/>
                <w:numId w:val="2"/>
              </w:numPr>
              <w:spacing w:after="0" w:line="259" w:lineRule="auto"/>
              <w:ind w:hanging="312"/>
              <w:jc w:val="left"/>
            </w:pPr>
            <w:r>
              <w:t xml:space="preserve">Prática de conversação em língua estrangeira.   </w:t>
            </w:r>
          </w:p>
        </w:tc>
      </w:tr>
      <w:tr w:rsidR="00285F05" w14:paraId="13C4BADF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0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1C09298" w14:textId="77777777" w:rsidR="00285F05" w:rsidRDefault="00285F05" w:rsidP="00B11F64">
            <w:pPr>
              <w:spacing w:after="0" w:line="259" w:lineRule="auto"/>
              <w:ind w:left="60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85F05" w14:paraId="5CC33594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D41B4D4" w14:textId="77777777" w:rsidR="00285F05" w:rsidRDefault="00285F05" w:rsidP="00B11F6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285F05" w14:paraId="57887B26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22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7EB65AD" w14:textId="77777777" w:rsidR="00285F05" w:rsidRDefault="00285F05" w:rsidP="00B11F64">
            <w:pPr>
              <w:spacing w:after="0" w:line="238" w:lineRule="auto"/>
              <w:ind w:left="0" w:right="88" w:firstLine="0"/>
            </w:pPr>
            <w:r>
      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a distância e as discussões geram frutos para o desenvolvimento dos planos de trabalho e mini artigos em grupos que serão, por sua vez, apresentados para uma banca avaliadora. Novas tecnologias interacionistas digitais de comunicação virtual, assíncrona e em tempo real serão igualmente usadas e apropriadas sempre que possível.    </w:t>
            </w:r>
          </w:p>
          <w:p w14:paraId="2CA881CE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85F05" w14:paraId="76475D68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9E94D4D" w14:textId="77777777" w:rsidR="00285F05" w:rsidRDefault="00285F05" w:rsidP="00B11F6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285F05" w14:paraId="34B8E7BE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16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AD76834" w14:textId="77777777" w:rsidR="00285F05" w:rsidRDefault="00285F0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24C54B77" w14:textId="77777777" w:rsidR="00285F05" w:rsidRDefault="00285F0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3FECCD07" w14:textId="77777777" w:rsidR="00285F05" w:rsidRDefault="00285F0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7A82533E" w14:textId="77777777" w:rsidR="00285F05" w:rsidRDefault="00285F0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74C05939" w14:textId="77777777" w:rsidR="00285F05" w:rsidRDefault="00285F0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122BC889" w14:textId="77777777" w:rsidR="00285F05" w:rsidRDefault="00285F05" w:rsidP="00B11F64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85F05" w14:paraId="5A464DC7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49F31CD" w14:textId="77777777" w:rsidR="00285F05" w:rsidRDefault="00285F05" w:rsidP="00B11F6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285F05" w14:paraId="0967C9F7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145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622AFFF" w14:textId="77777777" w:rsidR="00285F05" w:rsidRDefault="00285F05" w:rsidP="00B11F64">
            <w:pPr>
              <w:spacing w:after="21" w:line="239" w:lineRule="auto"/>
              <w:ind w:left="160" w:right="122" w:hanging="160"/>
              <w:jc w:val="left"/>
            </w:pPr>
            <w:r>
              <w:t xml:space="preserve">O processo de avaliação é contínuo e cumulativo, considerando os seguintes aspectos:   </w:t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Discussão/Interação no ambiente de ensino presencial e à distância;   </w:t>
            </w:r>
          </w:p>
          <w:p w14:paraId="0BC6A846" w14:textId="77777777" w:rsidR="00285F05" w:rsidRDefault="00285F05" w:rsidP="00285F05">
            <w:pPr>
              <w:numPr>
                <w:ilvl w:val="0"/>
                <w:numId w:val="3"/>
              </w:numPr>
              <w:spacing w:after="0" w:line="259" w:lineRule="auto"/>
              <w:ind w:hanging="440"/>
              <w:jc w:val="left"/>
            </w:pPr>
            <w:r>
              <w:t xml:space="preserve">Apresentação de seminário;   </w:t>
            </w:r>
          </w:p>
          <w:p w14:paraId="5F3248B7" w14:textId="3E1DB918" w:rsidR="00285F05" w:rsidRDefault="00285F05" w:rsidP="00285F05">
            <w:pPr>
              <w:numPr>
                <w:ilvl w:val="0"/>
                <w:numId w:val="3"/>
              </w:numPr>
              <w:spacing w:after="0" w:line="259" w:lineRule="auto"/>
              <w:ind w:hanging="440"/>
              <w:jc w:val="left"/>
            </w:pPr>
            <w:r>
              <w:t xml:space="preserve">Prova escrita;   </w:t>
            </w:r>
          </w:p>
          <w:p w14:paraId="1552B340" w14:textId="20B35673" w:rsidR="00285F05" w:rsidRDefault="00285F05" w:rsidP="00285F05">
            <w:pPr>
              <w:spacing w:after="0" w:line="259" w:lineRule="auto"/>
              <w:jc w:val="left"/>
            </w:pPr>
          </w:p>
          <w:p w14:paraId="1B083619" w14:textId="25101907" w:rsidR="00285F05" w:rsidRDefault="00285F05" w:rsidP="00285F05">
            <w:pPr>
              <w:spacing w:after="0" w:line="259" w:lineRule="auto"/>
              <w:jc w:val="left"/>
            </w:pPr>
          </w:p>
          <w:p w14:paraId="759CE101" w14:textId="77777777" w:rsidR="00285F05" w:rsidRDefault="00285F05" w:rsidP="00285F05">
            <w:pPr>
              <w:spacing w:after="0" w:line="259" w:lineRule="auto"/>
              <w:jc w:val="left"/>
            </w:pPr>
          </w:p>
          <w:p w14:paraId="271C72AB" w14:textId="77777777" w:rsidR="00285F05" w:rsidRDefault="00285F05" w:rsidP="00B11F64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85F05" w14:paraId="54CB9EF6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DBBB2EA" w14:textId="77777777" w:rsidR="00285F05" w:rsidRDefault="00285F05" w:rsidP="00B11F6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285F05" w14:paraId="64DF31B0" w14:textId="77777777" w:rsidTr="00B11F64">
        <w:tblPrEx>
          <w:tblCellMar>
            <w:top w:w="4" w:type="dxa"/>
            <w:left w:w="104" w:type="dxa"/>
            <w:right w:w="37" w:type="dxa"/>
          </w:tblCellMar>
        </w:tblPrEx>
        <w:trPr>
          <w:trHeight w:val="494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29E2932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289F373C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ALCOBA, S. </w:t>
            </w:r>
            <w:r w:rsidRPr="00C61865">
              <w:rPr>
                <w:b/>
                <w:lang w:val="es-419"/>
              </w:rPr>
              <w:t>La expresión oral</w:t>
            </w:r>
            <w:r w:rsidRPr="00C61865">
              <w:rPr>
                <w:i/>
                <w:lang w:val="es-419"/>
              </w:rPr>
              <w:t>.</w:t>
            </w:r>
            <w:r w:rsidRPr="00C61865">
              <w:rPr>
                <w:lang w:val="es-419"/>
              </w:rPr>
              <w:t xml:space="preserve"> Barcelona: Ariel, 2000.   </w:t>
            </w:r>
          </w:p>
          <w:p w14:paraId="7F16CAFD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GIL FERNÁNDEZ, J. </w:t>
            </w:r>
            <w:r w:rsidRPr="00C61865">
              <w:rPr>
                <w:b/>
                <w:lang w:val="es-419"/>
              </w:rPr>
              <w:t>Fonética para profesores de español: de la teoría a la práctica</w:t>
            </w:r>
            <w:r w:rsidRPr="00C61865">
              <w:rPr>
                <w:lang w:val="es-419"/>
              </w:rPr>
              <w:t xml:space="preserve">. </w:t>
            </w:r>
          </w:p>
          <w:p w14:paraId="28765614" w14:textId="77777777" w:rsidR="00285F05" w:rsidRPr="00C61865" w:rsidRDefault="00285F05" w:rsidP="00B11F64">
            <w:pPr>
              <w:spacing w:after="2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Madrid: Arco Libros, 2007.   </w:t>
            </w:r>
          </w:p>
          <w:p w14:paraId="5ED11501" w14:textId="77777777" w:rsidR="00285F05" w:rsidRPr="00C61865" w:rsidRDefault="00285F05" w:rsidP="00B11F64">
            <w:pPr>
              <w:spacing w:after="0" w:line="261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MORENO CORTÉS, M. </w:t>
            </w:r>
            <w:r w:rsidRPr="00C61865">
              <w:rPr>
                <w:b/>
                <w:lang w:val="es-419"/>
              </w:rPr>
              <w:t>Didáctica de la prosodia del español: la acentuación y la entonación</w:t>
            </w:r>
            <w:r w:rsidRPr="00C61865">
              <w:rPr>
                <w:i/>
                <w:lang w:val="es-419"/>
              </w:rPr>
              <w:t>.</w:t>
            </w:r>
            <w:r w:rsidRPr="00C61865">
              <w:rPr>
                <w:lang w:val="es-419"/>
              </w:rPr>
              <w:t xml:space="preserve"> Madrid: </w:t>
            </w:r>
            <w:proofErr w:type="spellStart"/>
            <w:r w:rsidRPr="00C61865">
              <w:rPr>
                <w:lang w:val="es-419"/>
              </w:rPr>
              <w:t>Edinumen</w:t>
            </w:r>
            <w:proofErr w:type="spellEnd"/>
            <w:r w:rsidRPr="00C61865">
              <w:rPr>
                <w:lang w:val="es-419"/>
              </w:rPr>
              <w:t xml:space="preserve">, 2001.    </w:t>
            </w:r>
          </w:p>
          <w:p w14:paraId="161FBC1B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 </w:t>
            </w:r>
          </w:p>
          <w:p w14:paraId="5A800B22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b/>
                <w:lang w:val="es-419"/>
              </w:rPr>
              <w:t>COMPLEMENTAR</w:t>
            </w:r>
            <w:r w:rsidRPr="00C61865">
              <w:rPr>
                <w:lang w:val="es-419"/>
              </w:rPr>
              <w:t xml:space="preserve"> </w:t>
            </w:r>
          </w:p>
          <w:p w14:paraId="7D380172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NATEROP, B. Jean &amp; REVELL, </w:t>
            </w:r>
            <w:proofErr w:type="spellStart"/>
            <w:r w:rsidRPr="00C61865">
              <w:rPr>
                <w:lang w:val="es-419"/>
              </w:rPr>
              <w:t>Rod</w:t>
            </w:r>
            <w:proofErr w:type="spellEnd"/>
            <w:r w:rsidRPr="00C61865">
              <w:rPr>
                <w:lang w:val="es-419"/>
              </w:rPr>
              <w:t xml:space="preserve">. </w:t>
            </w:r>
            <w:proofErr w:type="spellStart"/>
            <w:r w:rsidRPr="00C61865">
              <w:rPr>
                <w:b/>
                <w:lang w:val="es-419"/>
              </w:rPr>
              <w:t>Telephoning</w:t>
            </w:r>
            <w:proofErr w:type="spellEnd"/>
            <w:r w:rsidRPr="00C61865">
              <w:rPr>
                <w:b/>
                <w:lang w:val="es-419"/>
              </w:rPr>
              <w:t xml:space="preserve"> in English</w:t>
            </w:r>
            <w:r w:rsidRPr="00C61865">
              <w:rPr>
                <w:lang w:val="es-419"/>
              </w:rPr>
              <w:t xml:space="preserve">. Cambridge: </w:t>
            </w:r>
          </w:p>
          <w:p w14:paraId="689C7A68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Cambridge </w:t>
            </w:r>
            <w:proofErr w:type="spellStart"/>
            <w:r w:rsidRPr="00C61865">
              <w:rPr>
                <w:lang w:val="es-419"/>
              </w:rPr>
              <w:t>University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Press</w:t>
            </w:r>
            <w:proofErr w:type="spellEnd"/>
            <w:r w:rsidRPr="00C61865">
              <w:rPr>
                <w:lang w:val="es-419"/>
              </w:rPr>
              <w:t xml:space="preserve">, 1999.   </w:t>
            </w:r>
          </w:p>
          <w:p w14:paraId="5610DBB2" w14:textId="77777777" w:rsidR="00285F05" w:rsidRPr="00C61865" w:rsidRDefault="00285F05" w:rsidP="00B11F64">
            <w:pPr>
              <w:spacing w:after="4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PRATOR JR., Clifford H. </w:t>
            </w:r>
            <w:r w:rsidRPr="00C61865">
              <w:rPr>
                <w:b/>
                <w:lang w:val="es-419"/>
              </w:rPr>
              <w:t xml:space="preserve">Manual </w:t>
            </w:r>
            <w:proofErr w:type="spellStart"/>
            <w:r w:rsidRPr="00C61865">
              <w:rPr>
                <w:b/>
                <w:lang w:val="es-419"/>
              </w:rPr>
              <w:t>of</w:t>
            </w:r>
            <w:proofErr w:type="spellEnd"/>
            <w:r w:rsidRPr="00C61865">
              <w:rPr>
                <w:b/>
                <w:lang w:val="es-419"/>
              </w:rPr>
              <w:t xml:space="preserve"> American English </w:t>
            </w:r>
            <w:proofErr w:type="spellStart"/>
            <w:r w:rsidRPr="00C61865">
              <w:rPr>
                <w:b/>
                <w:lang w:val="es-419"/>
              </w:rPr>
              <w:t>Pronunciation</w:t>
            </w:r>
            <w:proofErr w:type="spellEnd"/>
            <w:r w:rsidRPr="00C61865">
              <w:rPr>
                <w:lang w:val="es-419"/>
              </w:rPr>
              <w:t xml:space="preserve">. New York:   </w:t>
            </w:r>
          </w:p>
          <w:p w14:paraId="5FC9156D" w14:textId="77777777" w:rsidR="00285F05" w:rsidRPr="00C61865" w:rsidRDefault="00285F05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Holt, </w:t>
            </w:r>
            <w:proofErr w:type="spellStart"/>
            <w:r w:rsidRPr="00C61865">
              <w:rPr>
                <w:lang w:val="es-419"/>
              </w:rPr>
              <w:t>Rinehart</w:t>
            </w:r>
            <w:proofErr w:type="spellEnd"/>
            <w:r w:rsidRPr="00C61865">
              <w:rPr>
                <w:lang w:val="es-419"/>
              </w:rPr>
              <w:t xml:space="preserve"> and Winston, Inc., 1972.   </w:t>
            </w:r>
          </w:p>
          <w:p w14:paraId="4047E7AA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t xml:space="preserve">Dicionários Técnicos de Fonética da Língua Inglesa.   </w:t>
            </w:r>
          </w:p>
          <w:p w14:paraId="218F4245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t xml:space="preserve">MCKINNON, Mark D. C. &amp; GARCIA, Almudena S. Word </w:t>
            </w:r>
            <w:proofErr w:type="spellStart"/>
            <w:r>
              <w:t>Up</w:t>
            </w:r>
            <w:proofErr w:type="spellEnd"/>
            <w:r>
              <w:t xml:space="preserve"> – </w:t>
            </w:r>
            <w:r>
              <w:rPr>
                <w:b/>
              </w:rPr>
              <w:t xml:space="preserve">O Inglês Que   </w:t>
            </w:r>
          </w:p>
          <w:p w14:paraId="0FEE1EEC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Ninguém Ensina.</w:t>
            </w:r>
            <w:r>
              <w:t xml:space="preserve"> SP: Martins Editora Livraria Ltda., 2011   </w:t>
            </w:r>
          </w:p>
          <w:p w14:paraId="3D24ECA5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 w:rsidRPr="00C61865">
              <w:rPr>
                <w:lang w:val="es-419"/>
              </w:rPr>
              <w:t xml:space="preserve">DURÃO, A. Balbino. </w:t>
            </w:r>
            <w:r w:rsidRPr="00C61865">
              <w:rPr>
                <w:b/>
                <w:lang w:val="es-419"/>
              </w:rPr>
              <w:t>La interlengua</w:t>
            </w:r>
            <w:r w:rsidRPr="00C61865">
              <w:rPr>
                <w:lang w:val="es-419"/>
              </w:rPr>
              <w:t xml:space="preserve">. </w:t>
            </w:r>
            <w:r>
              <w:t xml:space="preserve">Madrid: Arco </w:t>
            </w:r>
            <w:proofErr w:type="spellStart"/>
            <w:r>
              <w:t>Libros</w:t>
            </w:r>
            <w:proofErr w:type="spellEnd"/>
            <w:r>
              <w:t>, 2007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4C975686" w14:textId="77777777" w:rsidR="00285F05" w:rsidRDefault="00285F05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B420A84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39D4"/>
    <w:multiLevelType w:val="hybridMultilevel"/>
    <w:tmpl w:val="705E34CE"/>
    <w:lvl w:ilvl="0" w:tplc="20A8157C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C74CC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C9904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26CBE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8A592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A43B4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47AA6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F51C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C4C2A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64D16"/>
    <w:multiLevelType w:val="hybridMultilevel"/>
    <w:tmpl w:val="2984F308"/>
    <w:lvl w:ilvl="0" w:tplc="2892EB1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A80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C601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C7F7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F174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9EB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C18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8F62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781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11304"/>
    <w:multiLevelType w:val="hybridMultilevel"/>
    <w:tmpl w:val="8102A0DC"/>
    <w:lvl w:ilvl="0" w:tplc="9C723404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8730">
      <w:start w:val="1"/>
      <w:numFmt w:val="lowerLetter"/>
      <w:lvlText w:val="%2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B2B4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A1830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E9D4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469EC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09D8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68BCA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FB54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5866145">
    <w:abstractNumId w:val="1"/>
  </w:num>
  <w:num w:numId="2" w16cid:durableId="2055231978">
    <w:abstractNumId w:val="2"/>
  </w:num>
  <w:num w:numId="3" w16cid:durableId="79895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5"/>
    <w:rsid w:val="00285F05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2D5"/>
  <w15:chartTrackingRefBased/>
  <w15:docId w15:val="{EB5A71F8-E212-4D7B-9348-203AB8A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05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85F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2022-09-13T12:54:00Z</dcterms:created>
  <dcterms:modified xsi:type="dcterms:W3CDTF">2022-09-13T12:55:00Z</dcterms:modified>
</cp:coreProperties>
</file>